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247</w:t>
      </w:r>
    </w:p>
    <w:p>
      <w:r>
        <w:t>Bundesgericht (BGE), 1967-05-03, DE</w:t>
      </w:r>
    </w:p>
    <w:p>
      <w:r>
        <w:rPr>
          <w:b/>
        </w:rPr>
        <w:t xml:space="preserve">Quelle: </w:t>
      </w:r>
      <w:r>
        <w:t>https://mcp.opencaselaw.ch/entscheid/bge_93 I 247</w:t>
      </w:r>
    </w:p>
    <w:p>
      <w:r>
        <w:t>FR: ATF 93 I 247</w:t>
      </w:r>
    </w:p>
    <w:p>
      <w:r>
        <w:t>IT: DTF 93 I 247</w:t>
      </w:r>
    </w:p>
    <w:p>
      <w:pPr>
        <w:pStyle w:val="Heading2"/>
      </w:pPr>
      <w:r>
        <w:t>Regeste</w:t>
      </w:r>
    </w:p>
    <w:p>
      <w:r>
        <w:t>Regeste Zuweisung eines unüberbauten Grundstücks zu einer der Trennung von Gemeinden dienenden Freihaltezone (Bauverbotszone). Erfordernis des öffentlichen Interesses. Gewichtiges öffentliches Interesse an einem breiten Trenngürtel am Stadtrand von Zürich (Erw. 3 a). Bedeutung des Umstands, dass die Stadt Zürich beabsichtigt, in dem dazu bestimmten Gebiet einen Friedhof mit den dazu gehörigen Hochbauten anzulegen (Erw. 3 b, c).</w:t>
      </w:r>
    </w:p>
    <w:p>
      <w:pPr>
        <w:pStyle w:val="Heading2"/>
      </w:pPr>
      <w:r>
        <w:t>Erwägungen</w:t>
      </w:r>
    </w:p>
    <w:p>
      <w:r>
        <w:rPr>
          <w:b/>
        </w:rPr>
        <w:t>E. 1</w:t>
      </w:r>
    </w:p>
    <w:p>
      <w:r>
        <w:t>Staatsrechtliche Beschwerden wegen Verletzung der Eigentumsgarantie und des Art. 4 BV sind erst zulässig, nachdem der kantonale Instanzenzug erschöpft worden ist ( Art. 86 Abs. 2 und Art. 87 OG ). Diese Voraussetzung ist hier erfüllt, da Entscheide des Regierungsrates über Zonenpläne, wie unbestritten ist und das Bundesgericht bereits in den nicht veröffentlichten Urteilen vom 2. Dezember 1964 i.S. Weidmann (Erw. 3) und vom 8. März 1967 i.S. Gemeinde Volketswil (Erw. 1) festgestellt hat, der allein in Betracht fallenden Beschwerde an das Verwaltungsgericht des Kantons Zürich nicht unterliegen.</w:t>
      </w:r>
    </w:p>
    <w:p>
      <w:r>
        <w:rPr>
          <w:b/>
        </w:rPr>
        <w:t>E. 2</w:t>
      </w:r>
    </w:p>
    <w:p>
      <w:r>
        <w:t>Die Einbeziehung eines Grundstücks in eine Freihaltezone stellt einen besonders schweren Eingriff in das Privateigentum dar. Ein solcher Eingriff ist mit der vom Beschwerdeführer angerufenen Eigentumsgarantie nur vereinbar, wenn er auf einer klaren gesetzlichen Grundlage beruht, im öffentlichen Interesse liegt und, sofern er in der Wirkung einer Enteignung gleichkommt, gegen Entschädigung erfolgt ( BGE 91 I 333 mit Hinweisen auf frühere Urteile). Die Entschädigungsfrage wird mit der vorliegenden Beschwerde mit Recht nicht aufgeworfen, da erhobene, aber vom Gemeinwesen bestrittene Entschädigungsansprüche wegen materieller Enteignung gemäss § 183 ter zürch. EG/ZGB in dem in den §§ 32 ff. des Abtretungsgesetzes vorgesehenen Verfahren zu beurteilen sind und die Eigentumsgarantie, solange dieser Rechtsweg offen steht, nicht verletzt ist ( BGE 91 I 337 /8 und dort angeführte frühere Urteile). Ebenfalls mit Recht wird das Vorliegen einer klaren gesetzlichen Grundlage nicht bestritten, denn die streitige Freihaltezone dient im Gebiet der Liegenschaft des Beschwerdeführers in erster Linie der Trennung der Stadt Zürich von der Nachbargemeinde Fällanden und fällt daher unter § 68 b lit. b BG. Die Rüge der Verletzung der Eigentumsgarantie bezieht sich, was die Anwendung dieser Bestimmung betrifft, lediglich auf das öffentliche Interesse.</w:t>
      </w:r>
    </w:p>
    <w:p>
      <w:r>
        <w:rPr>
          <w:b/>
        </w:rPr>
        <w:t>E. 3</w:t>
      </w:r>
    </w:p>
    <w:p>
      <w:r>
        <w:t>Nach der Rechtsprechung des Bundesgerichts vermag nicht jedes beliebige öffentliche Interesse einen Eingriff in das Privateigentum zu rechtfertigen. Es muss sich um ein erhebliches Interesse handeln, welches das entgegenstehende private Interesse überwiegt, und es darf der Eingriff in das Privateigentum BGE 93 I 247 S. 251 nicht weiter gehen, als es dieses öffentliche Interesse erheischt ( BGE 91 I 335 Erw. 2). Ob diese Voraussetzungen erfüllt seien, prüft das Bundesgericht nur dann frei, wenn dabei in erster Linie rechtliche Überlegungen anzustellen sind; stehen dagegen tatsächliche Verhältnisse im Vordergrund, so überprüft es den angefochtenen Entscheid nur unter dem beschränkten Gesichtswinkel der Willkür ( BGE 91 I 335 Erw. 2, BGE 92 I 282 Erw. 3). a) Der Beschwerdeführer bestreitet nicht, dass ein erhebliches öffentliches Interesse an der Schaffung eines Trenngürtels zwischen der Stadt Zürich und den angrenzenden Gemeinden besteht. Er glaubt jedoch, der Zweck dieses Trenngürtels werde auch dann erreicht, wenn seine Parzelle Nr. 697 für die Überbauung freigegeben werde. Wie es sich damit verhält, ist eine ausgesprochene Tat- und Ermessensfrage, die das Bundesgericht nur unter dem beschränkten Gesichtspunkt der Willkür überprüfen kann. Wenn die Parzelle des Beschwerdeführers, die auf eine Länge von ca. 130 m an die Witikonerstrasse stösst, in die Freihaltezone einbezogen wird, erhält diese von den letzten Häusern der Strasse bis zur Stadtgrenze eine Tiefe von etwas über 1 km. Ein so breiter Trenngürtel kann nicht als übersetzt bezeichnet werden für eine Stadt mit einer Ausdehnung und Bevölkerungszahl, wie sie Zürich heute aufweist. Die Grenze der Freihaltezone an die Westseite der Parzelle Nr. 697 zu verlegen, lag auch wegen der topographischen Verhältnisse nahe, da sie dann mit der Verbindungslinie zweier von beiden Seiten gegen die Strasse vorspringender Waldungen zusammenfällt. Wenn die Stadt Zürich bei dieser Sachlage die Freihaltezone schon am ersten heute noch unüberbauten Grundstück an der Witikonerstrasse beginnen lassen will, so hält sich dieser Entscheid mindestens unter dem Gesichtspunkt der Willkür im Rahmen einer pflichtgemässen Abwägung von öffentlichen und privaten Interessen, denn das städtebauliche und sozialhygienische Interesse an einem breiten Trenngürtel am Stadtrand von Zürich ist als sehr erheblich zu betrachten. b) Nun beabsichtigt die Stadt Zürich freilich, auf der Parzelle Nr. 697 und auf dem angrenzenden Lande einen Friedhof mit gewissen Gebäuden anzulegen. Unter diesen Umständen kann man sich fragen, ob das dem Beschwerdeführer auferlegte Bauverbot noch der Trennung von Gemeinden im Sinne von BGE 93 I 247 S. 252 § 68 b lit. b BG dient und nicht einem Zweck, der nicht mehr unter diese Bestimmung fällt. In BGE 92 I 283 Erw. 3 b ist die Zuweisung von Land zu einer Grünzone mit dem Zweck, es für spätere Bauten der Gemeinde freizuhalten, mangels gesetzlicher Grundlage als unzulässig erklärt worden, da das Gesetz wohl eine Grünzone, aber keine Zone für öffentliche Bauten vorsah. Etwas derartiges liegt hier indes nicht vor. Der Beschwerdeführer macht denn auch nicht geltend, dass die Stadt Zürich unter dem Vorwand der Freihaltezone eine Zone für öffentliche Bauten schaffen wolle. Vielmehr erblickt er darin, dass auf seinem Grundstück und dem benachbarten Land ein Friedhof mit gewissen Bauten erstellt werden soll, einen Beweis dafür, dass die Einbeziehung dieses Gebietes in die Freihaltezone nicht notwendig und durch das öffentliche Interesse nicht geboten sei. Dieser Einwand wäre begründet, wenn die Anlage des Friedhofs mit dem Zonenzweck unvereinbar wäre. Das ist jedoch nicht der Fall. Mit der Freihaltezone zur Trennung von Gemeinden soll verhindert werden, dass die Baugebiete benachbarter Gemeinden zusammenwachsen und dadurch ein ineinanderfliessendes Häusermeer entsteht. Dieser Zweck erfordert nicht, dass die dafür bestimmten Freiflächen im bisherigen Zustand verbleiben oder gar landwirtschaftlich genutzt werden. Der Trennung der Baugebiete dienen die Freiflächen auch dann, wenn darauf private oder öffentliche Parkanlagen, Spiel-, Sport- oder Campingplätze, Friedhöfe usw. erstellt werden (vgl. MEIER-HAYOZ/ROSENSTOCK, Zum Problem der Grünzone S. 13 und 90/91). Der Zweck der Trenngürtel verlangt auch nicht, dass sie völlig unüberbaut bleiben. Schon § 68 b BG rechnet mit gewissen Bauten in der Freihaltezone, denn danach müssen die zu einer solchen erklärten Gebiete nicht völlig, sondern nur "im wesentlichen" unüberbaut sein. Dass dort auch gewisse neue Bauten erstellt werden dürfen, ergibt sich aus Art. 51 BO, wonach Gebäude oberirdisch nur erstellt, erweitert oder umgebaut werden dürfen, soweit sie "der Bewirtschaftung oder Bewerbung der Freiflächen dienen und dem Zonenzweck nicht widersprechen". Diese Vorschrift ist nach ihrem Wortlaut zwar auf landwirtschaftliche Gebäude zugeschnitten, lässt sich aber zwanglos und jedenfalls ohne Willkür auch auf andere Bauten anwenden wie z.B. auf Materialdepots und Umkleideräume von Sportplätzen (HINTERMANN, Die Freihaltezone, Diss. Zürich 1963 S. 105). Der Regierungsrat führt denn auch BGE 93 I 247 S. 253 im angefochtenen Entscheid in bezug auf das einem andern Rekurrenten gehörende Land aus, die allfällige Absicht der Stadt, dort Spielplätze mit bescheidenen Hochbauten, die ausschliesslich den Bedürfnissen der aktiv Sport Treibenden dienten, einzurichten, stehe dem Einbezug dieses Landes in die Freihaltezone nicht entgegen. Entsprechendes muss für Friedhöfe und die üblicherweise dazu gehörenden Bauten (Leichenhalle, Kapelle, Gewächshäuser usw.) gelten. Wie sich aus den Akten ergibt, wurde schon der bisherige, unweit vom Grundstück des Beschwerdeführers gelegene Friedhof von Witikon der Freihaltezone zugeteilt. Ob seine Erweiterung bis zur Witikonerstrasse bereits bei der Schaffung der Freihaltezone durch den Gemeindebeschluss vom 12. Juni 1963 ins Auge gefasst wurde (das erste Projekt datiert vom 29. Oktober 1963), ist nicht ersichtlich, kann aber dahingestellt bleiben, da ein Friedhof mit dem Hauptzweck der Freihaltezone, der Trennung zweier Gemeinden, sehr wohl vereinbar ist und sich die geplanten Bauten, die übrigens von geringer Ausdehnung und Höhe sein werden, ohne jede Willkür unter Art. 51 BO subsumieren lassen. c) Die in diesem Zusammenhang erhobenen Rügen der rechtsungleichen Behandlung und der Verweigerung des rechtlichen Gehörs sind unbegründet. Die rechtsungleiche Behandlung erblickt die Beschwerde darin, dass der Stadt Zürich die Errichtung der zu einem Friedhof gehörigen Hochbauten in der Freihaltezone, unter Umständen sogar auf dem Grundstück des Beschwerdeführers, erlaubt werde, während ihm die Erstellung von Wohnbauten verweigert werde. Die Erstellung einiger weniger und kleiner Hochbauten auf dem insgesamt über 110 000 m2 haltenden, parkartig ausgestalteten Friedhof lässt sich indes in keiner Weise vergleichen mit den Wohnhäusern, die der Beschwerdeführer auf seiner 5880 m2 haltenden Parzelle errichten möchte. Von einer Verletzung der Rechtsgleichheit könnte höchstens gesprochen werden, wenn die Stadt Zürich ihrerseits in der Freihaltezone Wohnhäuser bauen wollte. Davon ist aber nicht die Rede. Als Verweigerung des rechtlichen Gehörs rügt der Beschwerdeführer, dass sein im kantonalen Rekurs enthaltener Hinweis auf die Absicht der Stadt Zürich, in der Freihaltezone Friedhofgebäude zu errichten, vom Regierungsrat nicht berücksichtigt, sondern kurzerhand übergangen worden sei. Der Regierungsrat BGE 93 I 247 S. 254 hat sich in der Tat mit der Frage, ob in einer Freihaltezone Friedhofgebäude erstellt werden dürfen, nicht auseinandergesetzt. Eine Verweigerung des rechtlichen Gehörs liegt hierin schon deshalb nicht, weil die (übrigens wenig bestimmten) Ausführungen des Beschwerdeführers sich auf den Landschaftsschutz und damit auf lit. a von § 68 b BG bezogen, der Regierungsrat aber die Zulässigkeit der Einbeziehung des Grundstücks des Beschwerdeführers in die Freihaltezone nicht auf diese Bestimmung, sondern in erster Linie auf lit. b und daneben noch auf lit. c von § 68 b GB gestützt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